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A3C" w:rsidRPr="00C7491B" w:rsidRDefault="00F15A3C" w:rsidP="00F15A3C">
      <w:pPr>
        <w:rPr>
          <w:rFonts w:ascii="Verdana" w:hAnsi="Verdana"/>
        </w:rPr>
      </w:pPr>
    </w:p>
    <w:p w:rsidR="00AC5202" w:rsidRPr="00C7491B" w:rsidRDefault="00AC5202" w:rsidP="00444194">
      <w:pPr>
        <w:pStyle w:val="1"/>
        <w:rPr>
          <w:rFonts w:hAnsi="Verdana"/>
        </w:rPr>
      </w:pPr>
      <w:bookmarkStart w:id="0" w:name="_Toc136163618"/>
      <w:r w:rsidRPr="00C7491B">
        <w:t>プロセス名</w:t>
      </w:r>
      <w:bookmarkEnd w:id="0"/>
      <w:r w:rsidR="00C7491B" w:rsidRPr="00C7491B">
        <w:rPr>
          <w:rFonts w:hint="eastAsia"/>
        </w:rPr>
        <w:t>：</w:t>
      </w:r>
      <w:r w:rsidR="00BB3941">
        <w:rPr>
          <w:rFonts w:hint="eastAsia"/>
        </w:rPr>
        <w:t>販売プロセス（受注から回収まで）</w:t>
      </w:r>
    </w:p>
    <w:p w:rsidR="00AC5202" w:rsidRPr="00444194" w:rsidRDefault="00AC5202" w:rsidP="00C7491B"/>
    <w:p w:rsidR="00A17BA1" w:rsidRPr="00444194" w:rsidRDefault="00697461" w:rsidP="00444194">
      <w:pPr>
        <w:pStyle w:val="1"/>
      </w:pPr>
      <w:bookmarkStart w:id="1" w:name="_Toc136163619"/>
      <w:r w:rsidRPr="00444194">
        <w:rPr>
          <w:rFonts w:hint="eastAsia"/>
        </w:rPr>
        <w:t>目的</w:t>
      </w:r>
      <w:bookmarkStart w:id="2" w:name="_GoBack"/>
      <w:bookmarkEnd w:id="1"/>
      <w:bookmarkEnd w:id="2"/>
    </w:p>
    <w:p w:rsidR="002A7F9B" w:rsidRDefault="002A7F9B" w:rsidP="00444194"/>
    <w:p w:rsidR="00444194" w:rsidRPr="00444194" w:rsidRDefault="00444194" w:rsidP="00444194"/>
    <w:p w:rsidR="00A17BA1" w:rsidRPr="00444194" w:rsidRDefault="00697461" w:rsidP="00444194">
      <w:pPr>
        <w:pStyle w:val="1"/>
      </w:pPr>
      <w:bookmarkStart w:id="3" w:name="_Toc136163620"/>
      <w:r w:rsidRPr="00444194">
        <w:rPr>
          <w:rFonts w:hint="eastAsia"/>
        </w:rPr>
        <w:t>業務記述</w:t>
      </w:r>
      <w:bookmarkEnd w:id="3"/>
    </w:p>
    <w:p w:rsidR="004B2032" w:rsidRDefault="00BB3941" w:rsidP="00BB3941">
      <w:pPr>
        <w:pStyle w:val="2"/>
        <w:rPr>
          <w:rFonts w:hint="eastAsia"/>
        </w:rPr>
      </w:pPr>
      <w:r>
        <w:rPr>
          <w:rFonts w:hint="eastAsia"/>
        </w:rPr>
        <w:t>1.1-1</w:t>
      </w:r>
      <w:r>
        <w:rPr>
          <w:rFonts w:hint="eastAsia"/>
        </w:rPr>
        <w:t xml:space="preserve">　与信プロセスより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発注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得意先は、電話、メールまたは</w:t>
      </w:r>
      <w:r>
        <w:rPr>
          <w:rFonts w:hint="eastAsia"/>
        </w:rPr>
        <w:t>FAX</w:t>
      </w:r>
      <w:r>
        <w:rPr>
          <w:rFonts w:hint="eastAsia"/>
        </w:rPr>
        <w:t>にて発注する。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受注入力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営業担当者は、販売管理システムに受注入力を行う。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2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2-1</w:t>
      </w:r>
      <w:r>
        <w:rPr>
          <w:rFonts w:hint="eastAsia"/>
        </w:rPr>
        <w:t>、</w:t>
      </w:r>
      <w:r>
        <w:rPr>
          <w:rFonts w:hint="eastAsia"/>
        </w:rPr>
        <w:t>2-2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3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3-1</w:t>
      </w:r>
      <w:r>
        <w:rPr>
          <w:rFonts w:hint="eastAsia"/>
        </w:rPr>
        <w:t>、</w:t>
      </w:r>
      <w:r>
        <w:rPr>
          <w:rFonts w:hint="eastAsia"/>
        </w:rPr>
        <w:t>3-2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在庫照会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販売管理システムでは、受注入力時に在庫管理システムより自動で在庫情報を取得し、在庫引当を行う。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1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1-1</w:t>
      </w:r>
      <w:r>
        <w:rPr>
          <w:rFonts w:hint="eastAsia"/>
        </w:rPr>
        <w:t>、</w:t>
      </w:r>
      <w:r>
        <w:rPr>
          <w:rFonts w:hint="eastAsia"/>
        </w:rPr>
        <w:t>1-2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在庫引当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在庫管理システムでは、販売管理システムからの照会により在庫を調査し、販売管理システムに情報を転送する。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受注承認、入力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職務決裁権限に基づく承認者は、受注を承認する。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受注登録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受注承認済データから出荷指図が生成され、在庫管理システムへ転送される。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4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4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出荷指図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出荷予定日の直前営業日に、在庫管理システムから出荷指図書及び納品書が出力される。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lastRenderedPageBreak/>
        <w:t>9.</w:t>
      </w:r>
      <w:r>
        <w:rPr>
          <w:rFonts w:hint="eastAsia"/>
        </w:rPr>
        <w:t>出荷指図書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出荷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出荷担当者は、出荷指図書に基づき、出荷業務を実施するとともに、在庫管理システムに出荷確認入力を行う。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5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5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6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6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出荷登録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出荷確認入力後、在庫管理システムから出荷済データが販売管理システムに転送され、受注データのステータスが「出荷済」に変更される。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出荷データ照合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の日時夜間バッチ処理において、当日出荷データと出荷確認データを照合し、未出荷のものについて「未出荷リスト」が出力される。「未出荷リスト」は、営業担当者において精査され、原因が調査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納品書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得意先は、現品とともに納品書を受領し、その控えを返送する。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納品書（控）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売上登録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販売管理システムにおいて「出荷済」となった受注データについて、出荷数量、商品マスタ、得意先マスタに基づき売上額が計算され、売上データが作成される。売上データは会計システムに転送される。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16.</w:t>
      </w:r>
      <w:r>
        <w:rPr>
          <w:rFonts w:hint="eastAsia"/>
        </w:rPr>
        <w:t>売上データ（月次）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毎月第一営業日に、販売管理システムより前月の売上データが出力される。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17.</w:t>
      </w:r>
      <w:r>
        <w:rPr>
          <w:rFonts w:hint="eastAsia"/>
        </w:rPr>
        <w:t>仕訳データ生成</w:t>
      </w:r>
      <w:r>
        <w:rPr>
          <w:rFonts w:hint="eastAsia"/>
        </w:rPr>
        <w:t>1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7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7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8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8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18.</w:t>
      </w:r>
      <w:r>
        <w:rPr>
          <w:rFonts w:hint="eastAsia"/>
        </w:rPr>
        <w:t>請求データ生成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販売管理システムにおいて、売上データ及び得意先マスタに基づき請求データが生成される。毎月末日の請求締日に請求書が出力され、請求データのステータスが「請求済」になる。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19.</w:t>
      </w:r>
      <w:r>
        <w:rPr>
          <w:rFonts w:hint="eastAsia"/>
        </w:rPr>
        <w:t>請求書、請求プルーフリスト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販売管理システムより、請求プルーフリストと請求書が締日毎に出力される。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20.</w:t>
      </w:r>
      <w:r>
        <w:rPr>
          <w:rFonts w:hint="eastAsia"/>
        </w:rPr>
        <w:t>照合、請求書の発行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営業担当者は、請求プルーフリストと請求書を照合し、得意先に請求書を発行する。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9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9-1</w:t>
      </w:r>
      <w:r>
        <w:rPr>
          <w:rFonts w:hint="eastAsia"/>
        </w:rPr>
        <w:t>、</w:t>
      </w:r>
      <w:r>
        <w:rPr>
          <w:rFonts w:hint="eastAsia"/>
        </w:rPr>
        <w:t>9-2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21.</w:t>
      </w:r>
      <w:r>
        <w:rPr>
          <w:rFonts w:hint="eastAsia"/>
        </w:rPr>
        <w:t>請求書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22.</w:t>
      </w:r>
      <w:r>
        <w:rPr>
          <w:rFonts w:hint="eastAsia"/>
        </w:rPr>
        <w:t>代金の振込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得意先は、請求書にしたがい代金を指定された銀行口座に降込む。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23.</w:t>
      </w:r>
      <w:r>
        <w:rPr>
          <w:rFonts w:hint="eastAsia"/>
        </w:rPr>
        <w:t>入金処理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24.</w:t>
      </w:r>
      <w:r>
        <w:rPr>
          <w:rFonts w:hint="eastAsia"/>
        </w:rPr>
        <w:t>自動消込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販売管理システムでは、入金システムより入金データを取り込み、入金日、振込人名、金額が一致した入金について自動消込みを行う。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25.</w:t>
      </w:r>
      <w:r>
        <w:rPr>
          <w:rFonts w:hint="eastAsia"/>
        </w:rPr>
        <w:t>入金の消込み（自動消込以外）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経理担当者は、自動消込みが行われなかった請求データについて、手作業で消込み作業を行い、販売管理システムに消込み入力を行う。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26.</w:t>
      </w:r>
      <w:r>
        <w:rPr>
          <w:rFonts w:hint="eastAsia"/>
        </w:rPr>
        <w:t>消込登録</w:t>
      </w:r>
      <w:r>
        <w:rPr>
          <w:rFonts w:hint="eastAsia"/>
        </w:rPr>
        <w:t>1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27.</w:t>
      </w:r>
      <w:r>
        <w:rPr>
          <w:rFonts w:hint="eastAsia"/>
        </w:rPr>
        <w:t>入金アンマッチリスト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未入金の請求データ及び不明入金データの入金アンマッチリストが販売管理システムより出力され、経理部より営業部へ回付される。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28.</w:t>
      </w:r>
      <w:r>
        <w:rPr>
          <w:rFonts w:hint="eastAsia"/>
        </w:rPr>
        <w:t>内容確認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営業担当者は、得意先の担当者と入金予定、または振込金額の内訳を確認し、経理部への請求修正依頼書を作成する。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29.</w:t>
      </w:r>
      <w:r>
        <w:rPr>
          <w:rFonts w:hint="eastAsia"/>
        </w:rPr>
        <w:t>請求修正依頼書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30.</w:t>
      </w:r>
      <w:r>
        <w:rPr>
          <w:rFonts w:hint="eastAsia"/>
        </w:rPr>
        <w:t>承認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職務決裁権限に基づく承認者は、請求修正依頼書を承認する。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31.</w:t>
      </w:r>
      <w:r>
        <w:rPr>
          <w:rFonts w:hint="eastAsia"/>
        </w:rPr>
        <w:t>消込み、再請求入力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経理担当者は、営業部からの請求修正依頼書に基づき、販売管理システムに消込み入力を行い、最終的に消込まれなかった請求データのステータスを「再請求」に変更する。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32.</w:t>
      </w:r>
      <w:r>
        <w:rPr>
          <w:rFonts w:hint="eastAsia"/>
        </w:rPr>
        <w:t>消込登録</w:t>
      </w:r>
      <w:r>
        <w:rPr>
          <w:rFonts w:hint="eastAsia"/>
        </w:rPr>
        <w:t>2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販売管理システムより、消込み入力が行われたデータが会計システムに転送される。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33.</w:t>
      </w:r>
      <w:r>
        <w:rPr>
          <w:rFonts w:hint="eastAsia"/>
        </w:rPr>
        <w:t>仕訳データ生成</w:t>
      </w:r>
      <w:r>
        <w:rPr>
          <w:rFonts w:hint="eastAsia"/>
        </w:rPr>
        <w:t>2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Risk</w:t>
      </w:r>
      <w:r>
        <w:rPr>
          <w:rFonts w:hint="eastAsia"/>
        </w:rPr>
        <w:t>：</w:t>
      </w:r>
      <w:r>
        <w:rPr>
          <w:rFonts w:hint="eastAsia"/>
        </w:rPr>
        <w:t>10</w:t>
      </w:r>
    </w:p>
    <w:p w:rsidR="00BB3941" w:rsidRDefault="00BB3941" w:rsidP="00BB3941">
      <w:pPr>
        <w:rPr>
          <w:rFonts w:hint="eastAsia"/>
        </w:rPr>
      </w:pPr>
      <w:r>
        <w:rPr>
          <w:rFonts w:hint="eastAsia"/>
        </w:rPr>
        <w:t xml:space="preserve">  Control</w:t>
      </w:r>
      <w:r>
        <w:rPr>
          <w:rFonts w:hint="eastAsia"/>
        </w:rPr>
        <w:t>：</w:t>
      </w:r>
      <w:r>
        <w:rPr>
          <w:rFonts w:hint="eastAsia"/>
        </w:rPr>
        <w:t>10-1</w:t>
      </w:r>
      <w:r>
        <w:rPr>
          <w:rFonts w:hint="eastAsia"/>
        </w:rPr>
        <w:t>、</w:t>
      </w:r>
      <w:r>
        <w:rPr>
          <w:rFonts w:hint="eastAsia"/>
        </w:rPr>
        <w:t>10-2</w:t>
      </w:r>
      <w:r>
        <w:rPr>
          <w:rFonts w:hint="eastAsia"/>
        </w:rPr>
        <w:t>、</w:t>
      </w:r>
      <w:r>
        <w:rPr>
          <w:rFonts w:hint="eastAsia"/>
        </w:rPr>
        <w:t>10-3</w:t>
      </w:r>
    </w:p>
    <w:p w:rsidR="00BB3941" w:rsidRDefault="00BB3941" w:rsidP="00BB3941"/>
    <w:p w:rsidR="00BB3941" w:rsidRDefault="00BB3941" w:rsidP="00BB3941">
      <w:pPr>
        <w:pStyle w:val="2"/>
        <w:rPr>
          <w:rFonts w:hint="eastAsia"/>
        </w:rPr>
      </w:pPr>
      <w:r>
        <w:rPr>
          <w:rFonts w:hint="eastAsia"/>
        </w:rPr>
        <w:t>34.3-1</w:t>
      </w:r>
      <w:r>
        <w:rPr>
          <w:rFonts w:hint="eastAsia"/>
        </w:rPr>
        <w:t xml:space="preserve">　月次決算プロセスへ</w:t>
      </w:r>
    </w:p>
    <w:p w:rsidR="00BB3941" w:rsidRDefault="00BB3941" w:rsidP="00BB3941"/>
    <w:p w:rsidR="00BB3941" w:rsidRPr="00BB3941" w:rsidRDefault="00BB3941" w:rsidP="00BB3941"/>
    <w:p w:rsidR="00BE5E65" w:rsidRPr="00C7491B" w:rsidRDefault="00BE5E65" w:rsidP="00444194"/>
    <w:sectPr w:rsidR="00BE5E65" w:rsidRPr="00C7491B" w:rsidSect="00BE5E65">
      <w:headerReference w:type="default" r:id="rId6"/>
      <w:footerReference w:type="even" r:id="rId7"/>
      <w:footerReference w:type="default" r:id="rId8"/>
      <w:pgSz w:w="11906" w:h="16838" w:code="9"/>
      <w:pgMar w:top="680" w:right="851" w:bottom="851" w:left="851" w:header="720" w:footer="34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990" w:rsidRDefault="00231990">
      <w:r>
        <w:separator/>
      </w:r>
    </w:p>
  </w:endnote>
  <w:endnote w:type="continuationSeparator" w:id="0">
    <w:p w:rsidR="00231990" w:rsidRDefault="0023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65" w:rsidRDefault="00BE5E65" w:rsidP="006719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5E65" w:rsidRDefault="00BE5E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E65" w:rsidRPr="00BE5E65" w:rsidRDefault="00BE5E65" w:rsidP="00BE5E65">
    <w:pPr>
      <w:pStyle w:val="a5"/>
      <w:jc w:val="center"/>
      <w:rPr>
        <w:szCs w:val="21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D3AD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990" w:rsidRDefault="00231990">
      <w:r>
        <w:separator/>
      </w:r>
    </w:p>
  </w:footnote>
  <w:footnote w:type="continuationSeparator" w:id="0">
    <w:p w:rsidR="00231990" w:rsidRDefault="0023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108" w:type="dxa"/>
      <w:tblBorders>
        <w:left w:val="single" w:sz="4" w:space="0" w:color="auto"/>
      </w:tblBorders>
      <w:tblLook w:val="01E0" w:firstRow="1" w:lastRow="1" w:firstColumn="1" w:lastColumn="1" w:noHBand="0" w:noVBand="0"/>
    </w:tblPr>
    <w:tblGrid>
      <w:gridCol w:w="2133"/>
      <w:gridCol w:w="3087"/>
      <w:gridCol w:w="2007"/>
      <w:gridCol w:w="2853"/>
    </w:tblGrid>
    <w:tr w:rsidR="00BE5E65" w:rsidRPr="00E32D5C" w:rsidTr="00E32D5C">
      <w:tc>
        <w:tcPr>
          <w:tcW w:w="21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hAnsi="ＭＳ Ｐゴシック" w:cs="Arial"/>
              <w:b/>
              <w:color w:val="FFFFFF"/>
              <w:szCs w:val="16"/>
            </w:rPr>
          </w:pPr>
          <w:r w:rsidRPr="00E32D5C">
            <w:rPr>
              <w:rFonts w:hAnsi="ＭＳ Ｐゴシック" w:cs="Arial"/>
              <w:b/>
              <w:color w:val="FFFFFF"/>
              <w:szCs w:val="16"/>
            </w:rPr>
            <w:t>企業</w:t>
          </w:r>
          <w:r w:rsidRPr="00E32D5C">
            <w:rPr>
              <w:rFonts w:hAnsi="ＭＳ Ｐゴシック" w:cs="Arial" w:hint="eastAsia"/>
              <w:b/>
              <w:color w:val="FFFFFF"/>
              <w:szCs w:val="16"/>
            </w:rPr>
            <w:t>名</w:t>
          </w:r>
        </w:p>
      </w:tc>
      <w:tc>
        <w:tcPr>
          <w:tcW w:w="3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●●株式会社</w:t>
          </w:r>
        </w:p>
      </w:tc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hAnsi="ＭＳ Ｐゴシック" w:cs="Arial"/>
              <w:b/>
              <w:color w:val="FFFFFF"/>
              <w:szCs w:val="16"/>
            </w:rPr>
          </w:pPr>
          <w:r w:rsidRPr="00E32D5C">
            <w:rPr>
              <w:rFonts w:hAnsi="ＭＳ Ｐゴシック" w:cs="Arial" w:hint="eastAsia"/>
              <w:b/>
              <w:color w:val="FFFFFF"/>
            </w:rPr>
            <w:t>改訂番号</w:t>
          </w:r>
        </w:p>
      </w:tc>
      <w:tc>
        <w:tcPr>
          <w:tcW w:w="2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業</w:t>
          </w:r>
          <w:r>
            <w:rPr>
              <w:rFonts w:cs="Arial" w:hint="eastAsia"/>
            </w:rPr>
            <w:t>1-2</w:t>
          </w:r>
        </w:p>
      </w:tc>
    </w:tr>
    <w:tr w:rsidR="00BE5E65" w:rsidRPr="00E32D5C" w:rsidTr="00E32D5C">
      <w:tc>
        <w:tcPr>
          <w:tcW w:w="21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hAnsi="ＭＳ Ｐゴシック" w:cs="Arial"/>
              <w:b/>
              <w:color w:val="FFFFFF"/>
              <w:szCs w:val="16"/>
            </w:rPr>
          </w:pPr>
          <w:r w:rsidRPr="00E32D5C">
            <w:rPr>
              <w:rFonts w:hAnsi="ＭＳ Ｐゴシック" w:cs="Arial" w:hint="eastAsia"/>
              <w:b/>
              <w:color w:val="FFFFFF"/>
              <w:szCs w:val="16"/>
            </w:rPr>
            <w:t>組織名</w:t>
          </w:r>
        </w:p>
      </w:tc>
      <w:tc>
        <w:tcPr>
          <w:tcW w:w="3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●●株式会社</w:t>
          </w:r>
        </w:p>
      </w:tc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cs="Arial"/>
              <w:b/>
              <w:color w:val="FFFFFF"/>
            </w:rPr>
          </w:pPr>
          <w:r w:rsidRPr="00E32D5C">
            <w:rPr>
              <w:rFonts w:hAnsi="ＭＳ Ｐゴシック" w:cs="Arial"/>
              <w:b/>
              <w:color w:val="FFFFFF"/>
            </w:rPr>
            <w:t>改訂日</w:t>
          </w:r>
        </w:p>
      </w:tc>
      <w:tc>
        <w:tcPr>
          <w:tcW w:w="2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2019</w:t>
          </w:r>
          <w:r>
            <w:rPr>
              <w:rFonts w:cs="Arial" w:hint="eastAsia"/>
            </w:rPr>
            <w:t>年</w:t>
          </w:r>
          <w:r>
            <w:rPr>
              <w:rFonts w:cs="Arial" w:hint="eastAsia"/>
            </w:rPr>
            <w:t>12</w:t>
          </w:r>
          <w:r>
            <w:rPr>
              <w:rFonts w:cs="Arial" w:hint="eastAsia"/>
            </w:rPr>
            <w:t>月</w:t>
          </w:r>
          <w:r>
            <w:rPr>
              <w:rFonts w:cs="Arial" w:hint="eastAsia"/>
            </w:rPr>
            <w:t>2</w:t>
          </w:r>
          <w:r>
            <w:rPr>
              <w:rFonts w:cs="Arial" w:hint="eastAsia"/>
            </w:rPr>
            <w:t>日</w:t>
          </w:r>
        </w:p>
      </w:tc>
    </w:tr>
    <w:tr w:rsidR="00BE5E65" w:rsidRPr="00E32D5C" w:rsidTr="00E32D5C">
      <w:trPr>
        <w:trHeight w:val="60"/>
      </w:trPr>
      <w:tc>
        <w:tcPr>
          <w:tcW w:w="21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hAnsi="ＭＳ Ｐゴシック" w:cs="Arial"/>
              <w:b/>
              <w:color w:val="FFFFFF"/>
              <w:szCs w:val="16"/>
            </w:rPr>
          </w:pPr>
          <w:r w:rsidRPr="00E32D5C">
            <w:rPr>
              <w:rFonts w:hAnsi="ＭＳ Ｐゴシック" w:cs="Arial"/>
              <w:b/>
              <w:color w:val="FFFFFF"/>
              <w:szCs w:val="16"/>
            </w:rPr>
            <w:t>プロセス</w:t>
          </w:r>
          <w:r w:rsidRPr="00E32D5C">
            <w:rPr>
              <w:rFonts w:hAnsi="ＭＳ Ｐゴシック" w:cs="Arial" w:hint="eastAsia"/>
              <w:b/>
              <w:color w:val="FFFFFF"/>
              <w:szCs w:val="16"/>
            </w:rPr>
            <w:t>名</w:t>
          </w:r>
        </w:p>
      </w:tc>
      <w:tc>
        <w:tcPr>
          <w:tcW w:w="30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1-2</w:t>
          </w:r>
          <w:r>
            <w:rPr>
              <w:rFonts w:cs="Arial" w:hint="eastAsia"/>
            </w:rPr>
            <w:t xml:space="preserve">　</w:t>
          </w:r>
          <w:r w:rsidR="00BB3941">
            <w:rPr>
              <w:rFonts w:cs="Arial" w:hint="eastAsia"/>
            </w:rPr>
            <w:t>販売プロセス（受注から回収まで）</w:t>
          </w:r>
        </w:p>
      </w:tc>
      <w:tc>
        <w:tcPr>
          <w:tcW w:w="20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cs="Arial"/>
              <w:b/>
              <w:color w:val="FFFFFF"/>
            </w:rPr>
          </w:pPr>
          <w:r w:rsidRPr="00E32D5C">
            <w:rPr>
              <w:rFonts w:hAnsi="ＭＳ Ｐゴシック" w:cs="Arial"/>
              <w:b/>
              <w:color w:val="FFFFFF"/>
            </w:rPr>
            <w:t>承認日</w:t>
          </w:r>
        </w:p>
      </w:tc>
      <w:tc>
        <w:tcPr>
          <w:tcW w:w="2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2019</w:t>
          </w:r>
          <w:r>
            <w:rPr>
              <w:rFonts w:cs="Arial" w:hint="eastAsia"/>
            </w:rPr>
            <w:t>年</w:t>
          </w:r>
          <w:r>
            <w:rPr>
              <w:rFonts w:cs="Arial" w:hint="eastAsia"/>
            </w:rPr>
            <w:t>12</w:t>
          </w:r>
          <w:r>
            <w:rPr>
              <w:rFonts w:cs="Arial" w:hint="eastAsia"/>
            </w:rPr>
            <w:t>月</w:t>
          </w:r>
          <w:r>
            <w:rPr>
              <w:rFonts w:cs="Arial" w:hint="eastAsia"/>
            </w:rPr>
            <w:t>2</w:t>
          </w:r>
          <w:r>
            <w:rPr>
              <w:rFonts w:cs="Arial" w:hint="eastAsia"/>
            </w:rPr>
            <w:t>日</w:t>
          </w:r>
        </w:p>
      </w:tc>
    </w:tr>
    <w:tr w:rsidR="00BE5E65" w:rsidRPr="00E32D5C" w:rsidTr="00E32D5C">
      <w:tc>
        <w:tcPr>
          <w:tcW w:w="213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333399"/>
        </w:tcPr>
        <w:p w:rsidR="00BE5E65" w:rsidRPr="00E32D5C" w:rsidRDefault="00BE5E65" w:rsidP="00CB22BE">
          <w:pPr>
            <w:rPr>
              <w:rFonts w:hAnsi="ＭＳ Ｐゴシック" w:cs="Arial"/>
              <w:b/>
              <w:color w:val="FFFFFF"/>
              <w:szCs w:val="16"/>
            </w:rPr>
          </w:pPr>
          <w:r w:rsidRPr="00E32D5C">
            <w:rPr>
              <w:rFonts w:hAnsi="ＭＳ Ｐゴシック" w:cs="Arial"/>
              <w:b/>
              <w:color w:val="FFFFFF"/>
            </w:rPr>
            <w:t>フロー図ファイル名</w:t>
          </w:r>
        </w:p>
      </w:tc>
      <w:tc>
        <w:tcPr>
          <w:tcW w:w="79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BE5E65" w:rsidRPr="00E32D5C" w:rsidRDefault="00B31ADC" w:rsidP="00CB22BE">
          <w:pPr>
            <w:rPr>
              <w:rFonts w:cs="Arial"/>
            </w:rPr>
          </w:pPr>
          <w:r>
            <w:rPr>
              <w:rFonts w:cs="Arial" w:hint="eastAsia"/>
            </w:rPr>
            <w:t>1-2</w:t>
          </w:r>
          <w:r>
            <w:rPr>
              <w:rFonts w:cs="Arial" w:hint="eastAsia"/>
            </w:rPr>
            <w:t xml:space="preserve">　販売プロセス（受注から回収まで</w:t>
          </w:r>
          <w:r w:rsidR="00BB3941">
            <w:rPr>
              <w:rFonts w:cs="Arial" w:hint="eastAsia"/>
            </w:rPr>
            <w:t>.</w:t>
          </w:r>
          <w:proofErr w:type="spellStart"/>
          <w:r w:rsidR="00BB3941">
            <w:rPr>
              <w:rFonts w:cs="Arial" w:hint="eastAsia"/>
            </w:rPr>
            <w:t>vsdx</w:t>
          </w:r>
          <w:proofErr w:type="spellEnd"/>
        </w:p>
      </w:tc>
    </w:tr>
  </w:tbl>
  <w:p w:rsidR="00BE5E65" w:rsidRDefault="00BE5E65" w:rsidP="00E11F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0"/>
  </w:compat>
  <w:rsids>
    <w:rsidRoot w:val="00405EB5"/>
    <w:rsid w:val="00000E62"/>
    <w:rsid w:val="0002093A"/>
    <w:rsid w:val="00040711"/>
    <w:rsid w:val="0019354B"/>
    <w:rsid w:val="001D23CE"/>
    <w:rsid w:val="00231990"/>
    <w:rsid w:val="00281E48"/>
    <w:rsid w:val="002A2E09"/>
    <w:rsid w:val="002A7F9B"/>
    <w:rsid w:val="002D3AD8"/>
    <w:rsid w:val="002E3885"/>
    <w:rsid w:val="002E3F18"/>
    <w:rsid w:val="002F2AC8"/>
    <w:rsid w:val="002F6DBF"/>
    <w:rsid w:val="0030207B"/>
    <w:rsid w:val="00320B92"/>
    <w:rsid w:val="0035696F"/>
    <w:rsid w:val="00381EB5"/>
    <w:rsid w:val="003862CB"/>
    <w:rsid w:val="003C089F"/>
    <w:rsid w:val="00405EB5"/>
    <w:rsid w:val="004262D4"/>
    <w:rsid w:val="004331B3"/>
    <w:rsid w:val="00444194"/>
    <w:rsid w:val="0044727A"/>
    <w:rsid w:val="0047615E"/>
    <w:rsid w:val="004A7609"/>
    <w:rsid w:val="004B2032"/>
    <w:rsid w:val="004C1BE6"/>
    <w:rsid w:val="004D4349"/>
    <w:rsid w:val="004F5BDB"/>
    <w:rsid w:val="00500913"/>
    <w:rsid w:val="00514DD3"/>
    <w:rsid w:val="0053440E"/>
    <w:rsid w:val="00552C0F"/>
    <w:rsid w:val="005E645A"/>
    <w:rsid w:val="005F05BD"/>
    <w:rsid w:val="005F70D9"/>
    <w:rsid w:val="00644FB7"/>
    <w:rsid w:val="00656BDA"/>
    <w:rsid w:val="0067193C"/>
    <w:rsid w:val="00697461"/>
    <w:rsid w:val="006A13B2"/>
    <w:rsid w:val="00751E98"/>
    <w:rsid w:val="007B612D"/>
    <w:rsid w:val="0082379E"/>
    <w:rsid w:val="008D463F"/>
    <w:rsid w:val="008F4600"/>
    <w:rsid w:val="00907ECA"/>
    <w:rsid w:val="009338B7"/>
    <w:rsid w:val="00970B2F"/>
    <w:rsid w:val="00985121"/>
    <w:rsid w:val="009D7DD5"/>
    <w:rsid w:val="00A17BA1"/>
    <w:rsid w:val="00A379DF"/>
    <w:rsid w:val="00A4089A"/>
    <w:rsid w:val="00A70F0C"/>
    <w:rsid w:val="00A81E8A"/>
    <w:rsid w:val="00AC5202"/>
    <w:rsid w:val="00AC64F1"/>
    <w:rsid w:val="00AD4AEB"/>
    <w:rsid w:val="00AE2CA0"/>
    <w:rsid w:val="00AE7125"/>
    <w:rsid w:val="00B31ADC"/>
    <w:rsid w:val="00B96CED"/>
    <w:rsid w:val="00BB3941"/>
    <w:rsid w:val="00BE5E65"/>
    <w:rsid w:val="00C7491B"/>
    <w:rsid w:val="00CB20D2"/>
    <w:rsid w:val="00CB22BE"/>
    <w:rsid w:val="00D02A8B"/>
    <w:rsid w:val="00D1755C"/>
    <w:rsid w:val="00D369B7"/>
    <w:rsid w:val="00D70ABD"/>
    <w:rsid w:val="00E11F46"/>
    <w:rsid w:val="00E13783"/>
    <w:rsid w:val="00E157BB"/>
    <w:rsid w:val="00E32D5C"/>
    <w:rsid w:val="00E74D9B"/>
    <w:rsid w:val="00F15A3C"/>
    <w:rsid w:val="00F46E75"/>
    <w:rsid w:val="00FD7B7D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19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4194"/>
    <w:pPr>
      <w:widowControl w:val="0"/>
      <w:jc w:val="both"/>
    </w:pPr>
    <w:rPr>
      <w:rFonts w:ascii="Arial" w:eastAsia="ＭＳ Ｐゴシック" w:hAnsi="Arial"/>
      <w:kern w:val="2"/>
    </w:rPr>
  </w:style>
  <w:style w:type="paragraph" w:styleId="1">
    <w:name w:val="heading 1"/>
    <w:basedOn w:val="a"/>
    <w:next w:val="a"/>
    <w:qFormat/>
    <w:rsid w:val="004C1BE6"/>
    <w:pPr>
      <w:keepNext/>
      <w:outlineLvl w:val="0"/>
    </w:pPr>
    <w:rPr>
      <w:rFonts w:eastAsia="ＭＳ ゴシック"/>
      <w:b/>
      <w:sz w:val="24"/>
      <w:szCs w:val="24"/>
    </w:rPr>
  </w:style>
  <w:style w:type="paragraph" w:styleId="2">
    <w:name w:val="heading 2"/>
    <w:basedOn w:val="a"/>
    <w:next w:val="a"/>
    <w:qFormat/>
    <w:rsid w:val="00B96CED"/>
    <w:pPr>
      <w:keepNext/>
      <w:outlineLvl w:val="1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862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62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62CB"/>
  </w:style>
  <w:style w:type="character" w:customStyle="1" w:styleId="Bold">
    <w:name w:val="Bold"/>
    <w:aliases w:val="b"/>
    <w:basedOn w:val="a0"/>
    <w:rsid w:val="003862CB"/>
    <w:rPr>
      <w:b/>
    </w:rPr>
  </w:style>
  <w:style w:type="character" w:styleId="a7">
    <w:name w:val="annotation reference"/>
    <w:basedOn w:val="a0"/>
    <w:semiHidden/>
    <w:rsid w:val="00985121"/>
    <w:rPr>
      <w:sz w:val="18"/>
      <w:szCs w:val="18"/>
    </w:rPr>
  </w:style>
  <w:style w:type="paragraph" w:styleId="a8">
    <w:name w:val="annotation text"/>
    <w:basedOn w:val="a"/>
    <w:semiHidden/>
    <w:rsid w:val="00985121"/>
    <w:pPr>
      <w:jc w:val="left"/>
    </w:pPr>
  </w:style>
  <w:style w:type="paragraph" w:styleId="a9">
    <w:name w:val="annotation subject"/>
    <w:basedOn w:val="a8"/>
    <w:next w:val="a8"/>
    <w:semiHidden/>
    <w:rsid w:val="00985121"/>
    <w:rPr>
      <w:b/>
      <w:bCs/>
    </w:rPr>
  </w:style>
  <w:style w:type="paragraph" w:styleId="aa">
    <w:name w:val="Balloon Text"/>
    <w:basedOn w:val="a"/>
    <w:semiHidden/>
    <w:rsid w:val="00985121"/>
    <w:rPr>
      <w:rFonts w:eastAsia="ＭＳ ゴシック"/>
      <w:sz w:val="18"/>
      <w:szCs w:val="18"/>
    </w:rPr>
  </w:style>
  <w:style w:type="paragraph" w:customStyle="1" w:styleId="ab">
    <w:name w:val="タイトル"/>
    <w:basedOn w:val="1"/>
    <w:rsid w:val="008D463F"/>
    <w:rPr>
      <w:sz w:val="32"/>
    </w:rPr>
  </w:style>
  <w:style w:type="paragraph" w:styleId="10">
    <w:name w:val="toc 1"/>
    <w:basedOn w:val="a"/>
    <w:next w:val="a"/>
    <w:autoRedefine/>
    <w:semiHidden/>
    <w:rsid w:val="002E3885"/>
  </w:style>
  <w:style w:type="paragraph" w:styleId="20">
    <w:name w:val="toc 2"/>
    <w:basedOn w:val="a"/>
    <w:next w:val="a"/>
    <w:autoRedefine/>
    <w:semiHidden/>
    <w:rsid w:val="002E3885"/>
    <w:pPr>
      <w:ind w:leftChars="100" w:left="200"/>
    </w:pPr>
  </w:style>
  <w:style w:type="character" w:styleId="ac">
    <w:name w:val="Hyperlink"/>
    <w:basedOn w:val="a0"/>
    <w:rsid w:val="002E3885"/>
    <w:rPr>
      <w:color w:val="0000FF"/>
      <w:u w:val="single"/>
    </w:rPr>
  </w:style>
  <w:style w:type="paragraph" w:styleId="ad">
    <w:name w:val="Document Map"/>
    <w:basedOn w:val="a"/>
    <w:link w:val="ae"/>
    <w:rsid w:val="002D3AD8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rsid w:val="002D3AD8"/>
    <w:rPr>
      <w:rFonts w:ascii="MS UI Gothic" w:eastAsia="MS UI Gothic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Company Name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2019-12-02T07:53:00Z</dcterms:created>
  <dcterms:modified xsi:type="dcterms:W3CDTF">2019-12-02T07:55:00Z</dcterms:modified>
</cp:coreProperties>
</file>